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B2A" w:rsidRDefault="00E46B2A" w:rsidP="00E46B2A">
      <w:pPr>
        <w:pStyle w:val="Heading2"/>
        <w:rPr>
          <w:rFonts w:asciiTheme="minorHAnsi" w:eastAsiaTheme="minorHAnsi" w:hAnsiTheme="minorHAnsi" w:cstheme="minorHAnsi"/>
          <w:bCs w:val="0"/>
          <w:lang w:val="nl-NL" w:eastAsia="en-US"/>
        </w:rPr>
      </w:pPr>
      <w:r>
        <w:rPr>
          <w:rFonts w:asciiTheme="minorHAnsi" w:eastAsiaTheme="minorHAnsi" w:hAnsiTheme="minorHAnsi" w:cstheme="minorHAnsi"/>
          <w:bCs w:val="0"/>
          <w:lang w:val="nl-NL" w:eastAsia="en-US"/>
        </w:rPr>
        <w:t>Gebieden met invloed op kwetsbare natuur</w:t>
      </w:r>
    </w:p>
    <w:p w:rsidR="00E46B2A" w:rsidRDefault="00E46B2A" w:rsidP="00E46B2A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</w:p>
    <w:p w:rsidR="00E46B2A" w:rsidRDefault="00E46B2A" w:rsidP="00E46B2A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>
        <w:rPr>
          <w:rFonts w:asciiTheme="minorHAnsi" w:hAnsiTheme="minorHAnsi" w:cstheme="minorHAnsi"/>
          <w:sz w:val="28"/>
          <w:szCs w:val="28"/>
          <w:lang w:val="nl-NL"/>
        </w:rPr>
        <w:t xml:space="preserve">Korte toelichting </w:t>
      </w:r>
    </w:p>
    <w:p w:rsidR="00E46B2A" w:rsidRDefault="00E46B2A" w:rsidP="00E46B2A">
      <w:pPr>
        <w:pStyle w:val="NormalWeb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Op de kaart is een combinatie aangegeven van grondwaterbeschermingsgebieden en een indicatieve bufferzone van 3 kilometer rond Natura 2000-gebieden. Deze bufferzone is van grote invloed op de biodiversiteit in natuurgebieden en leent zich voor de aanleg van extensief gebruikte buffergebieden die grenzen aan bestaande Natura 2000-gebieden. Met deze buffergebieden kunnen kwetsbare habitattypen in de Natura 2000-gebieden worden vergroot over de grenzen van het Natura 2000-gebied heen. Het vergroten van natuurgebieden kan ook bijdragen aan de landschapskwaliteit. </w:t>
      </w:r>
    </w:p>
    <w:p w:rsidR="00E46B2A" w:rsidRDefault="00E46B2A" w:rsidP="00E46B2A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Zie ook het PBL rapport ‘Stikstof: ruimte voor perspectief’: </w:t>
      </w:r>
      <w:hyperlink r:id="rId4" w:history="1">
        <w:r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  <w:lang w:val="nl-NL"/>
          </w:rPr>
          <w:t>https://www.pbl.nl/publicaties/stikstof-ruimte-voor-perspectief</w:t>
        </w:r>
      </w:hyperlink>
    </w:p>
    <w:p w:rsidR="00E46B2A" w:rsidRDefault="00E46B2A" w:rsidP="00E46B2A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</w:pPr>
    </w:p>
    <w:p w:rsidR="00E46B2A" w:rsidRDefault="00E46B2A" w:rsidP="00E46B2A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>
        <w:rPr>
          <w:rFonts w:asciiTheme="minorHAnsi" w:hAnsiTheme="minorHAnsi" w:cstheme="minorHAnsi"/>
          <w:sz w:val="28"/>
          <w:szCs w:val="28"/>
          <w:lang w:val="nl-NL"/>
        </w:rPr>
        <w:t>Kaartgegevens</w:t>
      </w:r>
    </w:p>
    <w:p w:rsidR="00E46B2A" w:rsidRDefault="00E46B2A" w:rsidP="00E46B2A">
      <w:pPr>
        <w:pStyle w:val="NormalWeb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Bron: EZ, bewerking PBL </w:t>
      </w:r>
    </w:p>
    <w:p w:rsidR="00E46B2A" w:rsidRDefault="00E46B2A" w:rsidP="00E46B2A">
      <w:pPr>
        <w:pStyle w:val="NormalWeb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Beheer van de kaart: PBL  </w:t>
      </w:r>
    </w:p>
    <w:p w:rsidR="00E46B2A" w:rsidRDefault="00E46B2A" w:rsidP="00E46B2A">
      <w:pPr>
        <w:pStyle w:val="NormalWeb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Jaar: 2019</w:t>
      </w:r>
    </w:p>
    <w:p w:rsidR="00E46B2A" w:rsidRDefault="00E46B2A" w:rsidP="00E46B2A">
      <w:pPr>
        <w:pStyle w:val="NormalWeb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 xml:space="preserve">De kaarten in de </w:t>
      </w:r>
      <w:r>
        <w:rPr>
          <w:rFonts w:asciiTheme="minorHAnsi" w:hAnsiTheme="minorHAnsi" w:cstheme="minorHAnsi"/>
          <w:i/>
          <w:lang w:val="nl-NL"/>
        </w:rPr>
        <w:t>Atlas van de Regio</w:t>
      </w:r>
      <w:r>
        <w:rPr>
          <w:rFonts w:asciiTheme="minorHAnsi" w:hAnsiTheme="minorHAnsi" w:cstheme="minorHAnsi"/>
          <w:lang w:val="nl-NL"/>
        </w:rPr>
        <w:t xml:space="preserve"> zijn openbaar en mogen met de juiste bronvermelding voor onderzoek, rapportages en beleidsstukken worden gebruikt.</w:t>
      </w:r>
    </w:p>
    <w:p w:rsidR="00E46B2A" w:rsidRDefault="00E46B2A" w:rsidP="00E46B2A">
      <w:pPr>
        <w:pStyle w:val="NormalWeb"/>
        <w:rPr>
          <w:rFonts w:cstheme="minorHAnsi"/>
          <w:b/>
          <w:sz w:val="36"/>
          <w:szCs w:val="36"/>
          <w:lang w:val="nl-NL"/>
        </w:rPr>
      </w:pPr>
      <w:r>
        <w:rPr>
          <w:rStyle w:val="Emphasis"/>
          <w:rFonts w:asciiTheme="minorHAnsi" w:hAnsiTheme="minorHAnsi" w:cstheme="minorHAnsi"/>
          <w:i w:val="0"/>
          <w:lang w:val="nl-NL"/>
        </w:rPr>
        <w:t>Deze bijsluiter is opgesteld door het PBL en is voor het laatst bewerkt op 02-07-2020.</w:t>
      </w:r>
    </w:p>
    <w:p w:rsidR="00775DB3" w:rsidRDefault="00775DB3">
      <w:bookmarkStart w:id="0" w:name="_GoBack"/>
      <w:bookmarkEnd w:id="0"/>
    </w:p>
    <w:sectPr w:rsidR="00775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71"/>
    <w:rsid w:val="00473A71"/>
    <w:rsid w:val="00775DB3"/>
    <w:rsid w:val="009738B1"/>
    <w:rsid w:val="00E4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90D62-D567-4D4F-8B13-B032925E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3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3A71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unhideWhenUsed/>
    <w:rsid w:val="0047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73A7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73A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bl.nl/publicaties/stikstof-ruimte-voor-perspecti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A9369967.dotm</Template>
  <TotalTime>1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PBL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Diederiks, Jos</dc:creator>
  <cp:keywords/>
  <dc:description/>
  <cp:lastModifiedBy>Diederiks, Jos</cp:lastModifiedBy>
  <cp:revision>2</cp:revision>
  <dcterms:created xsi:type="dcterms:W3CDTF">2020-07-17T10:07:00Z</dcterms:created>
  <dcterms:modified xsi:type="dcterms:W3CDTF">2020-07-17T14:25:00Z</dcterms:modified>
</cp:coreProperties>
</file>