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DC" w:rsidRDefault="001E1BDC" w:rsidP="001E1BDC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751B43">
        <w:rPr>
          <w:rFonts w:asciiTheme="minorHAnsi" w:eastAsiaTheme="minorHAnsi" w:hAnsiTheme="minorHAnsi" w:cstheme="minorHAnsi"/>
          <w:bCs w:val="0"/>
          <w:lang w:val="nl-NL" w:eastAsia="en-US"/>
        </w:rPr>
        <w:t>Planologische restricties en beschermingsregimes (Rijk)</w:t>
      </w:r>
    </w:p>
    <w:p w:rsidR="001E1BDC" w:rsidRDefault="001E1BDC" w:rsidP="001E1BD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1E1BDC" w:rsidRPr="00952E42" w:rsidRDefault="001E1BDC" w:rsidP="001E1BD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1E1BDC" w:rsidRDefault="001E1BDC" w:rsidP="001E1BDC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De planologische restricties en beleidsregimes van het Rijk vloeien vooral voort uit </w:t>
      </w:r>
      <w:proofErr w:type="spellStart"/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Barro</w:t>
      </w:r>
      <w:proofErr w:type="spellEnd"/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-regelgeving voor hoogspanningslijnen, </w:t>
      </w:r>
      <w:proofErr w:type="spellStart"/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stroomvoerend</w:t>
      </w:r>
      <w:proofErr w:type="spellEnd"/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rivierbed, geluidscontouren en normen voor stikstofdioxide (NO2) en fijnstof (PM10). Onder ‘harde’ natuurbescherming vallen Natura 2000-gebieden, gebieden in het Natuurnetwerk Nederland, bos, kustfundament en Waddenzee en IJsselmeer.</w:t>
      </w:r>
    </w:p>
    <w:p w:rsidR="001E1BDC" w:rsidRDefault="001E1BDC" w:rsidP="001E1BDC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Voor meer informatie over ruimtelijke restricties zie ook de PBL studie ‘</w:t>
      </w:r>
      <w:r w:rsidRPr="00B07384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Nederlands landschapsbeleid en ruimtelijke restricties in kaart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’</w:t>
      </w:r>
      <w:r w:rsidRPr="00952E42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: </w:t>
      </w:r>
      <w:hyperlink r:id="rId4" w:history="1">
        <w:r w:rsidRPr="008E47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https://www.pbl.nl/publicaties/nederlands-landschapsbeleid-en-ruimtelijke-restricties-in-kaart</w:t>
        </w:r>
      </w:hyperlink>
    </w:p>
    <w:p w:rsidR="001E1BDC" w:rsidRDefault="001E1BDC" w:rsidP="001E1BD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1E1BDC" w:rsidRPr="00952E42" w:rsidRDefault="001E1BDC" w:rsidP="001E1BD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1E1BDC" w:rsidRPr="00A46ACB" w:rsidRDefault="001E1BDC" w:rsidP="001E1BDC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 w:rsidRPr="00D13DE4">
        <w:rPr>
          <w:rFonts w:asciiTheme="minorHAnsi" w:hAnsiTheme="minorHAnsi" w:cstheme="minorHAnsi"/>
          <w:lang w:val="nl-NL"/>
        </w:rPr>
        <w:t xml:space="preserve">Min. </w:t>
      </w:r>
      <w:proofErr w:type="spellStart"/>
      <w:r w:rsidRPr="00D13DE4">
        <w:rPr>
          <w:rFonts w:asciiTheme="minorHAnsi" w:hAnsiTheme="minorHAnsi" w:cstheme="minorHAnsi"/>
          <w:lang w:val="nl-NL"/>
        </w:rPr>
        <w:t>IenW</w:t>
      </w:r>
      <w:proofErr w:type="spellEnd"/>
      <w:r w:rsidRPr="00D13DE4">
        <w:rPr>
          <w:rFonts w:asciiTheme="minorHAnsi" w:hAnsiTheme="minorHAnsi" w:cstheme="minorHAnsi"/>
          <w:lang w:val="nl-NL"/>
        </w:rPr>
        <w:t>/Min. BZK/IPO/CBS/RIVM/bewerking PBL</w:t>
      </w:r>
    </w:p>
    <w:p w:rsidR="001E1BDC" w:rsidRPr="00A46ACB" w:rsidRDefault="001E1BDC" w:rsidP="001E1BDC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PBL  </w:t>
      </w:r>
    </w:p>
    <w:p w:rsidR="001E1BDC" w:rsidRPr="00A46ACB" w:rsidRDefault="001E1BDC" w:rsidP="001E1BDC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1E1BDC" w:rsidRDefault="001E1BDC" w:rsidP="001E1BDC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1E1BDC" w:rsidRDefault="001E1BDC" w:rsidP="001E1BDC">
      <w:pPr>
        <w:pStyle w:val="NormalWeb"/>
        <w:rPr>
          <w:rFonts w:cstheme="minorHAnsi"/>
          <w:b/>
          <w:sz w:val="36"/>
          <w:szCs w:val="36"/>
          <w:lang w:val="nl-NL"/>
        </w:rPr>
      </w:pPr>
      <w:r w:rsidRPr="00A46ACB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02-07-2020.</w:t>
      </w:r>
    </w:p>
    <w:p w:rsidR="00775DB3" w:rsidRDefault="00775DB3">
      <w:bookmarkStart w:id="0" w:name="_GoBack"/>
      <w:bookmarkEnd w:id="0"/>
    </w:p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DC"/>
    <w:rsid w:val="001E1BDC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A8FA-7C02-4FEC-86D9-D6A740E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BD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1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E1B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l.nl/publicaties/nederlands-landschapsbeleid-en-ruimtelijke-restricties-in-ka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2020-07-17T10:13:00Z</dcterms:created>
  <dcterms:modified xsi:type="dcterms:W3CDTF">2020-07-17T10:14:00Z</dcterms:modified>
</cp:coreProperties>
</file>